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73C" w:rsidRPr="005C173C" w:rsidRDefault="00F404E4" w:rsidP="005C173C">
      <w:pPr>
        <w:shd w:val="clear" w:color="auto" w:fill="FFFFFF"/>
        <w:spacing w:after="120" w:line="240" w:lineRule="auto"/>
        <w:jc w:val="both"/>
        <w:outlineLvl w:val="2"/>
        <w:rPr>
          <w:rFonts w:ascii="Times New Roman" w:eastAsia="Times New Roman" w:hAnsi="Times New Roman" w:cs="Times New Roman"/>
          <w:b/>
          <w:bCs/>
          <w:lang w:eastAsia="cs-CZ"/>
        </w:rPr>
      </w:pPr>
      <w:r w:rsidRPr="00094CB7">
        <w:rPr>
          <w:rFonts w:ascii="Times New Roman" w:eastAsia="Times New Roman" w:hAnsi="Times New Roman" w:cs="Times New Roman"/>
          <w:b/>
          <w:bCs/>
          <w:lang w:eastAsia="cs-CZ"/>
        </w:rPr>
        <w:t>Informace</w:t>
      </w:r>
      <w:r w:rsidR="005C173C" w:rsidRPr="005C173C">
        <w:rPr>
          <w:rFonts w:ascii="Times New Roman" w:eastAsia="Times New Roman" w:hAnsi="Times New Roman" w:cs="Times New Roman"/>
          <w:b/>
          <w:bCs/>
          <w:lang w:eastAsia="cs-CZ"/>
        </w:rPr>
        <w:t xml:space="preserve"> </w:t>
      </w:r>
      <w:r w:rsidR="005C173C" w:rsidRPr="00094CB7">
        <w:rPr>
          <w:rFonts w:ascii="Times New Roman" w:eastAsia="Times New Roman" w:hAnsi="Times New Roman" w:cs="Times New Roman"/>
          <w:b/>
          <w:bCs/>
          <w:lang w:eastAsia="cs-CZ"/>
        </w:rPr>
        <w:t>společnosti CYRRUS</w:t>
      </w:r>
      <w:r w:rsidR="00094CB7" w:rsidRPr="00094CB7">
        <w:rPr>
          <w:rFonts w:ascii="Times New Roman" w:eastAsia="Times New Roman" w:hAnsi="Times New Roman" w:cs="Times New Roman"/>
          <w:b/>
          <w:bCs/>
          <w:lang w:eastAsia="cs-CZ"/>
        </w:rPr>
        <w:t xml:space="preserve"> </w:t>
      </w:r>
      <w:r w:rsidR="00B240F5">
        <w:rPr>
          <w:rFonts w:ascii="Times New Roman" w:eastAsia="Times New Roman" w:hAnsi="Times New Roman" w:cs="Times New Roman"/>
          <w:b/>
          <w:bCs/>
          <w:lang w:eastAsia="cs-CZ"/>
        </w:rPr>
        <w:t>FX</w:t>
      </w:r>
      <w:r w:rsidR="005C173C" w:rsidRPr="00094CB7">
        <w:rPr>
          <w:rFonts w:ascii="Times New Roman" w:eastAsia="Times New Roman" w:hAnsi="Times New Roman" w:cs="Times New Roman"/>
          <w:b/>
          <w:bCs/>
          <w:lang w:eastAsia="cs-CZ"/>
        </w:rPr>
        <w:t xml:space="preserve">, a.s. (dále jen „společnost“) </w:t>
      </w:r>
      <w:r w:rsidRPr="00094CB7">
        <w:rPr>
          <w:rFonts w:ascii="Times New Roman" w:eastAsia="Times New Roman" w:hAnsi="Times New Roman" w:cs="Times New Roman"/>
          <w:b/>
          <w:bCs/>
          <w:lang w:eastAsia="cs-CZ"/>
        </w:rPr>
        <w:t xml:space="preserve">ohledně </w:t>
      </w:r>
      <w:r w:rsidR="008B5E9C" w:rsidRPr="00094CB7">
        <w:rPr>
          <w:rFonts w:ascii="Times New Roman" w:eastAsia="Times New Roman" w:hAnsi="Times New Roman" w:cs="Times New Roman"/>
          <w:b/>
          <w:bCs/>
          <w:lang w:eastAsia="cs-CZ"/>
        </w:rPr>
        <w:t>CRS a FATCA</w:t>
      </w:r>
    </w:p>
    <w:p w:rsidR="005C173C" w:rsidRPr="005C173C" w:rsidRDefault="005C173C" w:rsidP="005C173C">
      <w:pPr>
        <w:shd w:val="clear" w:color="auto" w:fill="FFFFFF"/>
        <w:spacing w:after="120" w:line="315" w:lineRule="atLeast"/>
        <w:jc w:val="both"/>
        <w:rPr>
          <w:rFonts w:ascii="Times New Roman" w:eastAsia="Times New Roman" w:hAnsi="Times New Roman" w:cs="Times New Roman"/>
          <w:lang w:eastAsia="cs-CZ"/>
        </w:rPr>
      </w:pPr>
      <w:r w:rsidRPr="005C173C">
        <w:rPr>
          <w:rFonts w:ascii="Times New Roman" w:eastAsia="Times New Roman" w:hAnsi="Times New Roman" w:cs="Times New Roman"/>
          <w:lang w:eastAsia="cs-CZ"/>
        </w:rPr>
        <w:t xml:space="preserve">Dne 6.4.2016 nabyla účinnosti novela </w:t>
      </w:r>
      <w:r w:rsidRPr="005C173C">
        <w:rPr>
          <w:rFonts w:ascii="Times New Roman" w:eastAsia="Times New Roman" w:hAnsi="Times New Roman" w:cs="Times New Roman"/>
          <w:b/>
          <w:lang w:eastAsia="cs-CZ"/>
        </w:rPr>
        <w:t>zákona</w:t>
      </w:r>
      <w:r w:rsidRPr="005C173C">
        <w:rPr>
          <w:rFonts w:ascii="Times New Roman" w:eastAsia="Times New Roman" w:hAnsi="Times New Roman" w:cs="Times New Roman"/>
          <w:lang w:eastAsia="cs-CZ"/>
        </w:rPr>
        <w:t xml:space="preserve"> č. 164/2013 Sb., </w:t>
      </w:r>
      <w:r w:rsidRPr="005C173C">
        <w:rPr>
          <w:rFonts w:ascii="Times New Roman" w:eastAsia="Times New Roman" w:hAnsi="Times New Roman" w:cs="Times New Roman"/>
          <w:b/>
          <w:lang w:eastAsia="cs-CZ"/>
        </w:rPr>
        <w:t>o mezinárodní spolupráci při správě daní</w:t>
      </w:r>
      <w:r w:rsidRPr="005C173C">
        <w:rPr>
          <w:rFonts w:ascii="Times New Roman" w:eastAsia="Times New Roman" w:hAnsi="Times New Roman" w:cs="Times New Roman"/>
          <w:lang w:eastAsia="cs-CZ"/>
        </w:rPr>
        <w:t xml:space="preserve"> (dále jen „</w:t>
      </w:r>
      <w:r w:rsidRPr="005C173C">
        <w:rPr>
          <w:rFonts w:ascii="Times New Roman" w:eastAsia="Times New Roman" w:hAnsi="Times New Roman" w:cs="Times New Roman"/>
          <w:b/>
          <w:lang w:eastAsia="cs-CZ"/>
        </w:rPr>
        <w:t>zákon</w:t>
      </w:r>
      <w:r w:rsidRPr="005C173C">
        <w:rPr>
          <w:rFonts w:ascii="Times New Roman" w:eastAsia="Times New Roman" w:hAnsi="Times New Roman" w:cs="Times New Roman"/>
          <w:lang w:eastAsia="cs-CZ"/>
        </w:rPr>
        <w:t>“). Tento zákon navazuje na mezinárodní závazky, ke kterým se Česká republika přihlásila, a které si kladou za cíl eliminovat na globální úrovni daňové úniky.</w:t>
      </w:r>
    </w:p>
    <w:p w:rsidR="005C173C" w:rsidRPr="005C173C" w:rsidRDefault="005C173C" w:rsidP="005C173C">
      <w:pPr>
        <w:shd w:val="clear" w:color="auto" w:fill="FFFFFF"/>
        <w:spacing w:after="120" w:line="315" w:lineRule="atLeast"/>
        <w:jc w:val="both"/>
        <w:rPr>
          <w:rFonts w:ascii="Times New Roman" w:eastAsia="Times New Roman" w:hAnsi="Times New Roman" w:cs="Times New Roman"/>
          <w:lang w:eastAsia="cs-CZ"/>
        </w:rPr>
      </w:pPr>
      <w:r w:rsidRPr="005C173C">
        <w:rPr>
          <w:rFonts w:ascii="Times New Roman" w:eastAsia="Times New Roman" w:hAnsi="Times New Roman" w:cs="Times New Roman"/>
          <w:lang w:eastAsia="cs-CZ"/>
        </w:rPr>
        <w:t>Prostředkem dosažení tohoto cíle je uložení povinnosti finančním institucím (</w:t>
      </w:r>
      <w:r w:rsidRPr="00094CB7">
        <w:rPr>
          <w:rFonts w:ascii="Times New Roman" w:eastAsia="Times New Roman" w:hAnsi="Times New Roman" w:cs="Times New Roman"/>
          <w:lang w:eastAsia="cs-CZ"/>
        </w:rPr>
        <w:t>bankám, OCP, platebním institucím atd.</w:t>
      </w:r>
      <w:r w:rsidRPr="005C173C">
        <w:rPr>
          <w:rFonts w:ascii="Times New Roman" w:eastAsia="Times New Roman" w:hAnsi="Times New Roman" w:cs="Times New Roman"/>
          <w:lang w:eastAsia="cs-CZ"/>
        </w:rPr>
        <w:t xml:space="preserve">) v jednotlivých členských zemích zjišťovat u svých klientů jejich daňové rezidentství a informace o zahraničních daňových rezidentech pravidelně každý rok automaticky oznamovat </w:t>
      </w:r>
      <w:r w:rsidR="0061060C" w:rsidRPr="00094CB7">
        <w:rPr>
          <w:rFonts w:ascii="Times New Roman" w:eastAsia="Times New Roman" w:hAnsi="Times New Roman" w:cs="Times New Roman"/>
          <w:lang w:eastAsia="cs-CZ"/>
        </w:rPr>
        <w:t>pověřeným úřadům. V</w:t>
      </w:r>
      <w:r w:rsidRPr="00094CB7">
        <w:rPr>
          <w:rFonts w:ascii="Times New Roman" w:eastAsia="Times New Roman" w:hAnsi="Times New Roman" w:cs="Times New Roman"/>
          <w:lang w:eastAsia="cs-CZ"/>
        </w:rPr>
        <w:t xml:space="preserve"> Česku </w:t>
      </w:r>
      <w:r w:rsidR="0061060C" w:rsidRPr="00094CB7">
        <w:rPr>
          <w:rFonts w:ascii="Times New Roman" w:eastAsia="Times New Roman" w:hAnsi="Times New Roman" w:cs="Times New Roman"/>
          <w:lang w:eastAsia="cs-CZ"/>
        </w:rPr>
        <w:t xml:space="preserve">je jím </w:t>
      </w:r>
      <w:r w:rsidRPr="005C173C">
        <w:rPr>
          <w:rFonts w:ascii="Times New Roman" w:eastAsia="Times New Roman" w:hAnsi="Times New Roman" w:cs="Times New Roman"/>
          <w:lang w:eastAsia="cs-CZ"/>
        </w:rPr>
        <w:t>Specializovaný finanční úřad</w:t>
      </w:r>
      <w:r w:rsidRPr="00094CB7">
        <w:rPr>
          <w:rFonts w:ascii="Times New Roman" w:eastAsia="Times New Roman" w:hAnsi="Times New Roman" w:cs="Times New Roman"/>
          <w:lang w:eastAsia="cs-CZ"/>
        </w:rPr>
        <w:t>u</w:t>
      </w:r>
      <w:r w:rsidRPr="005C173C">
        <w:rPr>
          <w:rFonts w:ascii="Times New Roman" w:eastAsia="Times New Roman" w:hAnsi="Times New Roman" w:cs="Times New Roman"/>
          <w:lang w:eastAsia="cs-CZ"/>
        </w:rPr>
        <w:t xml:space="preserve"> </w:t>
      </w:r>
      <w:r w:rsidRPr="00094CB7">
        <w:rPr>
          <w:rFonts w:ascii="Times New Roman" w:eastAsia="Times New Roman" w:hAnsi="Times New Roman" w:cs="Times New Roman"/>
          <w:lang w:eastAsia="cs-CZ"/>
        </w:rPr>
        <w:t>(</w:t>
      </w:r>
      <w:r w:rsidRPr="005C173C">
        <w:rPr>
          <w:rFonts w:ascii="Times New Roman" w:eastAsia="Times New Roman" w:hAnsi="Times New Roman" w:cs="Times New Roman"/>
          <w:lang w:eastAsia="cs-CZ"/>
        </w:rPr>
        <w:t>dále jen „</w:t>
      </w:r>
      <w:r w:rsidRPr="005C173C">
        <w:rPr>
          <w:rFonts w:ascii="Times New Roman" w:eastAsia="Times New Roman" w:hAnsi="Times New Roman" w:cs="Times New Roman"/>
          <w:b/>
          <w:lang w:eastAsia="cs-CZ"/>
        </w:rPr>
        <w:t>správce daně</w:t>
      </w:r>
      <w:r w:rsidRPr="005C173C">
        <w:rPr>
          <w:rFonts w:ascii="Times New Roman" w:eastAsia="Times New Roman" w:hAnsi="Times New Roman" w:cs="Times New Roman"/>
          <w:lang w:eastAsia="cs-CZ"/>
        </w:rPr>
        <w:t xml:space="preserve">“). Národní orgány z členských států si pak tyto informace automaticky vyměňují mezi sebou. Tento způsob výměny daňových informací je označován jako </w:t>
      </w:r>
      <w:proofErr w:type="spellStart"/>
      <w:r w:rsidRPr="005C173C">
        <w:rPr>
          <w:rFonts w:ascii="Times New Roman" w:eastAsia="Times New Roman" w:hAnsi="Times New Roman" w:cs="Times New Roman"/>
          <w:lang w:eastAsia="cs-CZ"/>
        </w:rPr>
        <w:t>common</w:t>
      </w:r>
      <w:proofErr w:type="spellEnd"/>
      <w:r w:rsidRPr="005C173C">
        <w:rPr>
          <w:rFonts w:ascii="Times New Roman" w:eastAsia="Times New Roman" w:hAnsi="Times New Roman" w:cs="Times New Roman"/>
          <w:lang w:eastAsia="cs-CZ"/>
        </w:rPr>
        <w:t xml:space="preserve"> reporting standard (</w:t>
      </w:r>
      <w:r w:rsidRPr="00094CB7">
        <w:rPr>
          <w:rFonts w:ascii="Times New Roman" w:eastAsia="Times New Roman" w:hAnsi="Times New Roman" w:cs="Times New Roman"/>
          <w:lang w:eastAsia="cs-CZ"/>
        </w:rPr>
        <w:t>díle jen</w:t>
      </w:r>
      <w:r w:rsidRPr="005C173C">
        <w:rPr>
          <w:rFonts w:ascii="Times New Roman" w:eastAsia="Times New Roman" w:hAnsi="Times New Roman" w:cs="Times New Roman"/>
          <w:lang w:eastAsia="cs-CZ"/>
        </w:rPr>
        <w:t xml:space="preserve"> </w:t>
      </w:r>
      <w:r w:rsidRPr="00094CB7">
        <w:rPr>
          <w:rFonts w:ascii="Times New Roman" w:eastAsia="Times New Roman" w:hAnsi="Times New Roman" w:cs="Times New Roman"/>
          <w:lang w:eastAsia="cs-CZ"/>
        </w:rPr>
        <w:t>„</w:t>
      </w:r>
      <w:r w:rsidRPr="005C173C">
        <w:rPr>
          <w:rFonts w:ascii="Times New Roman" w:eastAsia="Times New Roman" w:hAnsi="Times New Roman" w:cs="Times New Roman"/>
          <w:b/>
          <w:lang w:eastAsia="cs-CZ"/>
        </w:rPr>
        <w:t>CRS</w:t>
      </w:r>
      <w:r w:rsidRPr="00094CB7">
        <w:rPr>
          <w:rFonts w:ascii="Times New Roman" w:eastAsia="Times New Roman" w:hAnsi="Times New Roman" w:cs="Times New Roman"/>
          <w:lang w:eastAsia="cs-CZ"/>
        </w:rPr>
        <w:t>“</w:t>
      </w:r>
      <w:r w:rsidRPr="005C173C">
        <w:rPr>
          <w:rFonts w:ascii="Times New Roman" w:eastAsia="Times New Roman" w:hAnsi="Times New Roman" w:cs="Times New Roman"/>
          <w:lang w:eastAsia="cs-CZ"/>
        </w:rPr>
        <w:t>). V</w:t>
      </w:r>
      <w:r w:rsidRPr="00094CB7">
        <w:rPr>
          <w:rFonts w:ascii="Times New Roman" w:eastAsia="Times New Roman" w:hAnsi="Times New Roman" w:cs="Times New Roman"/>
          <w:lang w:eastAsia="cs-CZ"/>
        </w:rPr>
        <w:t>e společnosti</w:t>
      </w:r>
      <w:r w:rsidRPr="005C173C">
        <w:rPr>
          <w:rFonts w:ascii="Times New Roman" w:eastAsia="Times New Roman" w:hAnsi="Times New Roman" w:cs="Times New Roman"/>
          <w:lang w:eastAsia="cs-CZ"/>
        </w:rPr>
        <w:t xml:space="preserve"> podléhají režimu CRS</w:t>
      </w:r>
      <w:r w:rsidRPr="00094CB7">
        <w:rPr>
          <w:rFonts w:ascii="Times New Roman" w:eastAsia="Times New Roman" w:hAnsi="Times New Roman" w:cs="Times New Roman"/>
          <w:lang w:eastAsia="cs-CZ"/>
        </w:rPr>
        <w:t xml:space="preserve"> </w:t>
      </w:r>
      <w:r w:rsidR="001D5E07">
        <w:rPr>
          <w:rFonts w:ascii="Times New Roman" w:eastAsia="Times New Roman" w:hAnsi="Times New Roman" w:cs="Times New Roman"/>
          <w:lang w:eastAsia="cs-CZ"/>
        </w:rPr>
        <w:t>platební</w:t>
      </w:r>
      <w:r w:rsidRPr="00094CB7">
        <w:rPr>
          <w:rFonts w:ascii="Times New Roman" w:eastAsia="Times New Roman" w:hAnsi="Times New Roman" w:cs="Times New Roman"/>
          <w:lang w:eastAsia="cs-CZ"/>
        </w:rPr>
        <w:t xml:space="preserve"> </w:t>
      </w:r>
      <w:bookmarkStart w:id="0" w:name="_GoBack"/>
      <w:r w:rsidRPr="00094CB7">
        <w:rPr>
          <w:rFonts w:ascii="Times New Roman" w:eastAsia="Times New Roman" w:hAnsi="Times New Roman" w:cs="Times New Roman"/>
          <w:lang w:eastAsia="cs-CZ"/>
        </w:rPr>
        <w:t>účt</w:t>
      </w:r>
      <w:bookmarkEnd w:id="0"/>
      <w:r w:rsidRPr="00094CB7">
        <w:rPr>
          <w:rFonts w:ascii="Times New Roman" w:eastAsia="Times New Roman" w:hAnsi="Times New Roman" w:cs="Times New Roman"/>
          <w:lang w:eastAsia="cs-CZ"/>
        </w:rPr>
        <w:t xml:space="preserve">y </w:t>
      </w:r>
      <w:r w:rsidR="001D5E07">
        <w:rPr>
          <w:rFonts w:ascii="Times New Roman" w:eastAsia="Times New Roman" w:hAnsi="Times New Roman" w:cs="Times New Roman"/>
          <w:lang w:eastAsia="cs-CZ"/>
        </w:rPr>
        <w:t xml:space="preserve">klientů </w:t>
      </w:r>
      <w:r w:rsidR="0061060C" w:rsidRPr="00094CB7">
        <w:rPr>
          <w:rFonts w:ascii="Times New Roman" w:eastAsia="Times New Roman" w:hAnsi="Times New Roman" w:cs="Times New Roman"/>
          <w:lang w:eastAsia="cs-CZ"/>
        </w:rPr>
        <w:t xml:space="preserve">a na nich evidované </w:t>
      </w:r>
      <w:r w:rsidRPr="00094CB7">
        <w:rPr>
          <w:rFonts w:ascii="Times New Roman" w:eastAsia="Times New Roman" w:hAnsi="Times New Roman" w:cs="Times New Roman"/>
          <w:lang w:eastAsia="cs-CZ"/>
        </w:rPr>
        <w:t>finanční prostředky</w:t>
      </w:r>
      <w:r w:rsidR="0061060C" w:rsidRPr="00094CB7">
        <w:rPr>
          <w:rFonts w:ascii="Times New Roman" w:eastAsia="Times New Roman" w:hAnsi="Times New Roman" w:cs="Times New Roman"/>
          <w:lang w:eastAsia="cs-CZ"/>
        </w:rPr>
        <w:t>.</w:t>
      </w:r>
    </w:p>
    <w:p w:rsidR="005C173C" w:rsidRPr="005C173C" w:rsidRDefault="00F404E4" w:rsidP="005C173C">
      <w:pPr>
        <w:shd w:val="clear" w:color="auto" w:fill="FFFFFF"/>
        <w:spacing w:after="0" w:line="315" w:lineRule="atLeast"/>
        <w:jc w:val="both"/>
        <w:rPr>
          <w:rFonts w:ascii="Times New Roman" w:eastAsia="Times New Roman" w:hAnsi="Times New Roman" w:cs="Times New Roman"/>
          <w:b/>
          <w:lang w:eastAsia="cs-CZ"/>
        </w:rPr>
      </w:pPr>
      <w:r w:rsidRPr="00094CB7">
        <w:rPr>
          <w:rFonts w:ascii="Times New Roman" w:eastAsia="Times New Roman" w:hAnsi="Times New Roman" w:cs="Times New Roman"/>
          <w:b/>
          <w:lang w:eastAsia="cs-CZ"/>
        </w:rPr>
        <w:t xml:space="preserve">Povinnosti dle </w:t>
      </w:r>
      <w:r w:rsidR="005C173C" w:rsidRPr="005C173C">
        <w:rPr>
          <w:rFonts w:ascii="Times New Roman" w:eastAsia="Times New Roman" w:hAnsi="Times New Roman" w:cs="Times New Roman"/>
          <w:b/>
          <w:lang w:eastAsia="cs-CZ"/>
        </w:rPr>
        <w:t xml:space="preserve">CRS </w:t>
      </w:r>
    </w:p>
    <w:p w:rsidR="005C173C" w:rsidRPr="00094CB7" w:rsidRDefault="005C173C" w:rsidP="00F404E4">
      <w:pPr>
        <w:pStyle w:val="Odstavecseseznamem"/>
        <w:numPr>
          <w:ilvl w:val="0"/>
          <w:numId w:val="3"/>
        </w:numPr>
        <w:shd w:val="clear" w:color="auto" w:fill="FFFFFF"/>
        <w:spacing w:after="135" w:line="315" w:lineRule="atLeast"/>
        <w:jc w:val="both"/>
        <w:rPr>
          <w:rFonts w:ascii="Times New Roman" w:eastAsia="Times New Roman" w:hAnsi="Times New Roman" w:cs="Times New Roman"/>
          <w:lang w:eastAsia="cs-CZ"/>
        </w:rPr>
      </w:pPr>
      <w:r w:rsidRPr="00094CB7">
        <w:rPr>
          <w:rFonts w:ascii="Times New Roman" w:eastAsia="Times New Roman" w:hAnsi="Times New Roman" w:cs="Times New Roman"/>
          <w:lang w:eastAsia="cs-CZ"/>
        </w:rPr>
        <w:t xml:space="preserve">Zjišťovat informace o daňovém rezidentství klienta, tedy údaj o státu daňového rezidenství (tj. kde klient daní své celosvětové příjmy) a spolu s tím daňové identifikační číslo (DIČ) přidělené klientovi ve státě jeho daňového rezidentství. Tyto informace společnost získává na základě vašeho čestného prohlášení, které je zpravidla součástí smluvní dokumentace, nebo za určitých podmínek </w:t>
      </w:r>
      <w:r w:rsidR="0061060C" w:rsidRPr="00094CB7">
        <w:rPr>
          <w:rFonts w:ascii="Times New Roman" w:eastAsia="Times New Roman" w:hAnsi="Times New Roman" w:cs="Times New Roman"/>
          <w:lang w:eastAsia="cs-CZ"/>
        </w:rPr>
        <w:t xml:space="preserve">prostřednictvím formuláře </w:t>
      </w:r>
      <w:r w:rsidRPr="00094CB7">
        <w:rPr>
          <w:rFonts w:ascii="Times New Roman" w:eastAsia="Times New Roman" w:hAnsi="Times New Roman" w:cs="Times New Roman"/>
          <w:lang w:eastAsia="cs-CZ"/>
        </w:rPr>
        <w:t xml:space="preserve">na žádost společnosti. V případě zjištění nesouladu mezi </w:t>
      </w:r>
      <w:r w:rsidR="00B86F68" w:rsidRPr="00094CB7">
        <w:rPr>
          <w:rFonts w:ascii="Times New Roman" w:eastAsia="Times New Roman" w:hAnsi="Times New Roman" w:cs="Times New Roman"/>
          <w:lang w:eastAsia="cs-CZ"/>
        </w:rPr>
        <w:t>v</w:t>
      </w:r>
      <w:r w:rsidRPr="00094CB7">
        <w:rPr>
          <w:rFonts w:ascii="Times New Roman" w:eastAsia="Times New Roman" w:hAnsi="Times New Roman" w:cs="Times New Roman"/>
          <w:lang w:eastAsia="cs-CZ"/>
        </w:rPr>
        <w:t xml:space="preserve">aší adresou trvalého pobytu a </w:t>
      </w:r>
      <w:r w:rsidR="00B86F68" w:rsidRPr="00094CB7">
        <w:rPr>
          <w:rFonts w:ascii="Times New Roman" w:eastAsia="Times New Roman" w:hAnsi="Times New Roman" w:cs="Times New Roman"/>
          <w:lang w:eastAsia="cs-CZ"/>
        </w:rPr>
        <w:t>v</w:t>
      </w:r>
      <w:r w:rsidRPr="00094CB7">
        <w:rPr>
          <w:rFonts w:ascii="Times New Roman" w:eastAsia="Times New Roman" w:hAnsi="Times New Roman" w:cs="Times New Roman"/>
          <w:lang w:eastAsia="cs-CZ"/>
        </w:rPr>
        <w:t>ámi uvedeným státem daňového rezidentství je společnost ze zákona povinna tent</w:t>
      </w:r>
      <w:r w:rsidR="00B86F68" w:rsidRPr="00094CB7">
        <w:rPr>
          <w:rFonts w:ascii="Times New Roman" w:eastAsia="Times New Roman" w:hAnsi="Times New Roman" w:cs="Times New Roman"/>
          <w:lang w:eastAsia="cs-CZ"/>
        </w:rPr>
        <w:t>o nesoulad objasnit na základě vašeho</w:t>
      </w:r>
      <w:r w:rsidRPr="00094CB7">
        <w:rPr>
          <w:rFonts w:ascii="Times New Roman" w:eastAsia="Times New Roman" w:hAnsi="Times New Roman" w:cs="Times New Roman"/>
          <w:lang w:eastAsia="cs-CZ"/>
        </w:rPr>
        <w:t xml:space="preserve"> dodatečn</w:t>
      </w:r>
      <w:r w:rsidR="00B86F68" w:rsidRPr="00094CB7">
        <w:rPr>
          <w:rFonts w:ascii="Times New Roman" w:eastAsia="Times New Roman" w:hAnsi="Times New Roman" w:cs="Times New Roman"/>
          <w:lang w:eastAsia="cs-CZ"/>
        </w:rPr>
        <w:t>ého</w:t>
      </w:r>
      <w:r w:rsidRPr="00094CB7">
        <w:rPr>
          <w:rFonts w:ascii="Times New Roman" w:eastAsia="Times New Roman" w:hAnsi="Times New Roman" w:cs="Times New Roman"/>
          <w:lang w:eastAsia="cs-CZ"/>
        </w:rPr>
        <w:t xml:space="preserve"> vysvětlení. U smluv existujících před 1.1.2016 ukládá zákon prověřit tyto smlouvy na existenci některé </w:t>
      </w:r>
      <w:proofErr w:type="gramStart"/>
      <w:r w:rsidRPr="00094CB7">
        <w:rPr>
          <w:rFonts w:ascii="Times New Roman" w:eastAsia="Times New Roman" w:hAnsi="Times New Roman" w:cs="Times New Roman"/>
          <w:lang w:eastAsia="cs-CZ"/>
        </w:rPr>
        <w:t>ze</w:t>
      </w:r>
      <w:proofErr w:type="gramEnd"/>
      <w:r w:rsidRPr="00094CB7">
        <w:rPr>
          <w:rFonts w:ascii="Times New Roman" w:eastAsia="Times New Roman" w:hAnsi="Times New Roman" w:cs="Times New Roman"/>
          <w:lang w:eastAsia="cs-CZ"/>
        </w:rPr>
        <w:t xml:space="preserve"> zákonem stanovených indicií cizího daňového rezidenství. V případě nalezení takové indicie bude</w:t>
      </w:r>
      <w:r w:rsidR="00B86F68" w:rsidRPr="00094CB7">
        <w:rPr>
          <w:rFonts w:ascii="Times New Roman" w:eastAsia="Times New Roman" w:hAnsi="Times New Roman" w:cs="Times New Roman"/>
          <w:lang w:eastAsia="cs-CZ"/>
        </w:rPr>
        <w:t xml:space="preserve"> společnost</w:t>
      </w:r>
      <w:r w:rsidRPr="00094CB7">
        <w:rPr>
          <w:rFonts w:ascii="Times New Roman" w:eastAsia="Times New Roman" w:hAnsi="Times New Roman" w:cs="Times New Roman"/>
          <w:lang w:eastAsia="cs-CZ"/>
        </w:rPr>
        <w:t xml:space="preserve"> takového klienta kontaktovat za účelem prověření jeho daňového rezidentství (sdělení jeho DIČ, domicilu apod.).</w:t>
      </w:r>
    </w:p>
    <w:p w:rsidR="005C173C" w:rsidRPr="00094CB7" w:rsidRDefault="005C173C" w:rsidP="00F404E4">
      <w:pPr>
        <w:pStyle w:val="Odstavecseseznamem"/>
        <w:numPr>
          <w:ilvl w:val="0"/>
          <w:numId w:val="3"/>
        </w:numPr>
        <w:shd w:val="clear" w:color="auto" w:fill="FFFFFF"/>
        <w:spacing w:after="135" w:line="315" w:lineRule="atLeast"/>
        <w:jc w:val="both"/>
        <w:rPr>
          <w:rFonts w:ascii="Times New Roman" w:eastAsia="Times New Roman" w:hAnsi="Times New Roman" w:cs="Times New Roman"/>
          <w:lang w:eastAsia="cs-CZ"/>
        </w:rPr>
      </w:pPr>
      <w:r w:rsidRPr="005C173C">
        <w:rPr>
          <w:rFonts w:ascii="Times New Roman" w:eastAsia="Times New Roman" w:hAnsi="Times New Roman" w:cs="Times New Roman"/>
          <w:lang w:eastAsia="cs-CZ"/>
        </w:rPr>
        <w:t xml:space="preserve">Oznamovat správci daně pravidelně 1x ročně (vždy do 30.6.) </w:t>
      </w:r>
      <w:r w:rsidR="00B86F68" w:rsidRPr="00094CB7">
        <w:rPr>
          <w:rFonts w:ascii="Times New Roman" w:eastAsia="Times New Roman" w:hAnsi="Times New Roman" w:cs="Times New Roman"/>
          <w:lang w:eastAsia="cs-CZ"/>
        </w:rPr>
        <w:t xml:space="preserve">vlastníky </w:t>
      </w:r>
      <w:r w:rsidR="001D5E07">
        <w:rPr>
          <w:rFonts w:ascii="Times New Roman" w:eastAsia="Times New Roman" w:hAnsi="Times New Roman" w:cs="Times New Roman"/>
          <w:lang w:eastAsia="cs-CZ"/>
        </w:rPr>
        <w:t>platebních</w:t>
      </w:r>
      <w:r w:rsidR="00B86F68" w:rsidRPr="00094CB7">
        <w:rPr>
          <w:rFonts w:ascii="Times New Roman" w:eastAsia="Times New Roman" w:hAnsi="Times New Roman" w:cs="Times New Roman"/>
          <w:lang w:eastAsia="cs-CZ"/>
        </w:rPr>
        <w:t xml:space="preserve"> účtů</w:t>
      </w:r>
      <w:r w:rsidRPr="005C173C">
        <w:rPr>
          <w:rFonts w:ascii="Times New Roman" w:eastAsia="Times New Roman" w:hAnsi="Times New Roman" w:cs="Times New Roman"/>
          <w:lang w:eastAsia="cs-CZ"/>
        </w:rPr>
        <w:t xml:space="preserve">, u nichž </w:t>
      </w:r>
      <w:r w:rsidR="001D5E07">
        <w:rPr>
          <w:rFonts w:ascii="Times New Roman" w:eastAsia="Times New Roman" w:hAnsi="Times New Roman" w:cs="Times New Roman"/>
          <w:lang w:eastAsia="cs-CZ"/>
        </w:rPr>
        <w:t>společnost</w:t>
      </w:r>
      <w:r w:rsidRPr="005C173C">
        <w:rPr>
          <w:rFonts w:ascii="Times New Roman" w:eastAsia="Times New Roman" w:hAnsi="Times New Roman" w:cs="Times New Roman"/>
          <w:lang w:eastAsia="cs-CZ"/>
        </w:rPr>
        <w:t xml:space="preserve"> evidovala v předchozím kalendářním roce osoby s daňovým rezidentstvím ve státě zapojeném do CRS. Předmětem oznámení jsou identifikační údaje klienta (včetně DIČ) a dále </w:t>
      </w:r>
      <w:r w:rsidR="00B86F68" w:rsidRPr="00094CB7">
        <w:rPr>
          <w:rFonts w:ascii="Times New Roman" w:eastAsia="Times New Roman" w:hAnsi="Times New Roman" w:cs="Times New Roman"/>
          <w:lang w:eastAsia="cs-CZ"/>
        </w:rPr>
        <w:t>zůstatek na účtu</w:t>
      </w:r>
      <w:r w:rsidRPr="005C173C">
        <w:rPr>
          <w:rFonts w:ascii="Times New Roman" w:eastAsia="Times New Roman" w:hAnsi="Times New Roman" w:cs="Times New Roman"/>
          <w:lang w:eastAsia="cs-CZ"/>
        </w:rPr>
        <w:t>. Správce daně pak tyto informace předává správcům daně v příslušných státech a zpětně od nich získává obdobné informace o českých daňových rezidentech, kteří využívají finanční produkty v daném státě.</w:t>
      </w:r>
    </w:p>
    <w:p w:rsidR="00F404E4" w:rsidRPr="00094CB7" w:rsidRDefault="00F404E4" w:rsidP="00F404E4">
      <w:pPr>
        <w:shd w:val="clear" w:color="auto" w:fill="FFFFFF"/>
        <w:spacing w:after="0" w:line="315" w:lineRule="atLeast"/>
        <w:jc w:val="both"/>
        <w:rPr>
          <w:rFonts w:ascii="Times New Roman" w:eastAsia="Times New Roman" w:hAnsi="Times New Roman" w:cs="Times New Roman"/>
          <w:b/>
          <w:lang w:eastAsia="cs-CZ"/>
        </w:rPr>
      </w:pPr>
      <w:r w:rsidRPr="00094CB7">
        <w:rPr>
          <w:rFonts w:ascii="Times New Roman" w:eastAsia="Times New Roman" w:hAnsi="Times New Roman" w:cs="Times New Roman"/>
          <w:b/>
          <w:lang w:eastAsia="cs-CZ"/>
        </w:rPr>
        <w:t>Povinnosti dle FATCA</w:t>
      </w:r>
    </w:p>
    <w:p w:rsidR="005C173C" w:rsidRPr="00094CB7" w:rsidRDefault="00F404E4" w:rsidP="00F404E4">
      <w:pPr>
        <w:shd w:val="clear" w:color="auto" w:fill="FFFFFF"/>
        <w:spacing w:after="135" w:line="315" w:lineRule="atLeast"/>
        <w:jc w:val="both"/>
        <w:rPr>
          <w:rFonts w:ascii="Times New Roman" w:eastAsia="Times New Roman" w:hAnsi="Times New Roman" w:cs="Times New Roman"/>
          <w:lang w:eastAsia="cs-CZ"/>
        </w:rPr>
      </w:pPr>
      <w:r w:rsidRPr="00094CB7">
        <w:rPr>
          <w:rFonts w:ascii="Times New Roman" w:eastAsia="Times New Roman" w:hAnsi="Times New Roman" w:cs="Times New Roman"/>
          <w:lang w:eastAsia="cs-CZ"/>
        </w:rPr>
        <w:t>Společnost</w:t>
      </w:r>
      <w:r w:rsidR="005C173C" w:rsidRPr="00094CB7">
        <w:rPr>
          <w:rFonts w:ascii="Times New Roman" w:eastAsia="Times New Roman" w:hAnsi="Times New Roman" w:cs="Times New Roman"/>
          <w:lang w:eastAsia="cs-CZ"/>
        </w:rPr>
        <w:t xml:space="preserve"> dále informuje, že do režimu CRS se nezapojily Spojené státy americké. Pokud tedy </w:t>
      </w:r>
      <w:r w:rsidRPr="00094CB7">
        <w:rPr>
          <w:rFonts w:ascii="Times New Roman" w:eastAsia="Times New Roman" w:hAnsi="Times New Roman" w:cs="Times New Roman"/>
          <w:lang w:eastAsia="cs-CZ"/>
        </w:rPr>
        <w:t>společnost</w:t>
      </w:r>
      <w:r w:rsidR="005C173C" w:rsidRPr="00094CB7">
        <w:rPr>
          <w:rFonts w:ascii="Times New Roman" w:eastAsia="Times New Roman" w:hAnsi="Times New Roman" w:cs="Times New Roman"/>
          <w:lang w:eastAsia="cs-CZ"/>
        </w:rPr>
        <w:t xml:space="preserve"> vede </w:t>
      </w:r>
      <w:r w:rsidRPr="00094CB7">
        <w:rPr>
          <w:rFonts w:ascii="Times New Roman" w:eastAsia="Times New Roman" w:hAnsi="Times New Roman" w:cs="Times New Roman"/>
          <w:lang w:eastAsia="cs-CZ"/>
        </w:rPr>
        <w:t xml:space="preserve">investiční </w:t>
      </w:r>
      <w:r w:rsidR="005C173C" w:rsidRPr="00094CB7">
        <w:rPr>
          <w:rFonts w:ascii="Times New Roman" w:eastAsia="Times New Roman" w:hAnsi="Times New Roman" w:cs="Times New Roman"/>
          <w:lang w:eastAsia="cs-CZ"/>
        </w:rPr>
        <w:t xml:space="preserve">smlouvu, jejíž </w:t>
      </w:r>
      <w:r w:rsidRPr="00094CB7">
        <w:rPr>
          <w:rFonts w:ascii="Times New Roman" w:eastAsia="Times New Roman" w:hAnsi="Times New Roman" w:cs="Times New Roman"/>
          <w:lang w:eastAsia="cs-CZ"/>
        </w:rPr>
        <w:t>stranou</w:t>
      </w:r>
      <w:r w:rsidR="005C173C" w:rsidRPr="00094CB7">
        <w:rPr>
          <w:rFonts w:ascii="Times New Roman" w:eastAsia="Times New Roman" w:hAnsi="Times New Roman" w:cs="Times New Roman"/>
          <w:lang w:eastAsia="cs-CZ"/>
        </w:rPr>
        <w:t xml:space="preserve"> je americká osoba (americký daňový rezident nebo americký občan), uplatní právní regulace zakotvená v Dohodě mezi ČR a USA o zlepšení dodržování daňových předpisů v mezinárodním měřítku (</w:t>
      </w:r>
      <w:r w:rsidRPr="00094CB7">
        <w:rPr>
          <w:rFonts w:ascii="Times New Roman" w:eastAsia="Times New Roman" w:hAnsi="Times New Roman" w:cs="Times New Roman"/>
          <w:lang w:eastAsia="cs-CZ"/>
        </w:rPr>
        <w:t>dále je „</w:t>
      </w:r>
      <w:r w:rsidR="005C173C" w:rsidRPr="00094CB7">
        <w:rPr>
          <w:rFonts w:ascii="Times New Roman" w:eastAsia="Times New Roman" w:hAnsi="Times New Roman" w:cs="Times New Roman"/>
          <w:lang w:eastAsia="cs-CZ"/>
        </w:rPr>
        <w:t>FATCA</w:t>
      </w:r>
      <w:r w:rsidRPr="00094CB7">
        <w:rPr>
          <w:rFonts w:ascii="Times New Roman" w:eastAsia="Times New Roman" w:hAnsi="Times New Roman" w:cs="Times New Roman"/>
          <w:lang w:eastAsia="cs-CZ"/>
        </w:rPr>
        <w:t>“</w:t>
      </w:r>
      <w:r w:rsidR="005C173C" w:rsidRPr="00094CB7">
        <w:rPr>
          <w:rFonts w:ascii="Times New Roman" w:eastAsia="Times New Roman" w:hAnsi="Times New Roman" w:cs="Times New Roman"/>
          <w:lang w:eastAsia="cs-CZ"/>
        </w:rPr>
        <w:t xml:space="preserve">), včetně prověřovacích postupů v dohodě FATCA zakotvených. Způsob oznámení </w:t>
      </w:r>
      <w:r w:rsidR="00094CB7">
        <w:rPr>
          <w:rFonts w:ascii="Times New Roman" w:eastAsia="Times New Roman" w:hAnsi="Times New Roman" w:cs="Times New Roman"/>
          <w:lang w:eastAsia="cs-CZ"/>
        </w:rPr>
        <w:t>smluvních vztahů</w:t>
      </w:r>
      <w:r w:rsidR="005C173C" w:rsidRPr="00094CB7">
        <w:rPr>
          <w:rFonts w:ascii="Times New Roman" w:eastAsia="Times New Roman" w:hAnsi="Times New Roman" w:cs="Times New Roman"/>
          <w:lang w:eastAsia="cs-CZ"/>
        </w:rPr>
        <w:t xml:space="preserve"> spadajících do režimu FATCA je však obdobný jako v případě režimu CRS (viz výše).</w:t>
      </w:r>
    </w:p>
    <w:p w:rsidR="00F404E4" w:rsidRPr="005C173C" w:rsidRDefault="00F404E4" w:rsidP="005C173C">
      <w:pPr>
        <w:shd w:val="clear" w:color="auto" w:fill="FFFFFF"/>
        <w:spacing w:after="0" w:line="315" w:lineRule="atLeast"/>
        <w:jc w:val="both"/>
        <w:rPr>
          <w:rFonts w:ascii="Times New Roman" w:eastAsia="Times New Roman" w:hAnsi="Times New Roman" w:cs="Times New Roman"/>
          <w:b/>
          <w:lang w:eastAsia="cs-CZ"/>
        </w:rPr>
      </w:pPr>
      <w:r w:rsidRPr="00094CB7">
        <w:rPr>
          <w:rFonts w:ascii="Times New Roman" w:eastAsia="Times New Roman" w:hAnsi="Times New Roman" w:cs="Times New Roman"/>
          <w:b/>
          <w:lang w:eastAsia="cs-CZ"/>
        </w:rPr>
        <w:t>Informování klientů</w:t>
      </w:r>
    </w:p>
    <w:p w:rsidR="005C173C" w:rsidRPr="005C173C" w:rsidRDefault="005C173C" w:rsidP="00F404E4">
      <w:pPr>
        <w:shd w:val="clear" w:color="auto" w:fill="FFFFFF"/>
        <w:spacing w:after="135" w:line="315" w:lineRule="atLeast"/>
        <w:jc w:val="both"/>
        <w:rPr>
          <w:rFonts w:ascii="Times New Roman" w:eastAsia="Times New Roman" w:hAnsi="Times New Roman" w:cs="Times New Roman"/>
          <w:lang w:eastAsia="cs-CZ"/>
        </w:rPr>
      </w:pPr>
      <w:r w:rsidRPr="005C173C">
        <w:rPr>
          <w:rFonts w:ascii="Times New Roman" w:eastAsia="Times New Roman" w:hAnsi="Times New Roman" w:cs="Times New Roman"/>
          <w:lang w:eastAsia="cs-CZ"/>
        </w:rPr>
        <w:t xml:space="preserve">Klienti, kteří </w:t>
      </w:r>
      <w:proofErr w:type="gramStart"/>
      <w:r w:rsidRPr="005C173C">
        <w:rPr>
          <w:rFonts w:ascii="Times New Roman" w:eastAsia="Times New Roman" w:hAnsi="Times New Roman" w:cs="Times New Roman"/>
          <w:lang w:eastAsia="cs-CZ"/>
        </w:rPr>
        <w:t>budou</w:t>
      </w:r>
      <w:proofErr w:type="gramEnd"/>
      <w:r w:rsidRPr="005C173C">
        <w:rPr>
          <w:rFonts w:ascii="Times New Roman" w:eastAsia="Times New Roman" w:hAnsi="Times New Roman" w:cs="Times New Roman"/>
          <w:lang w:eastAsia="cs-CZ"/>
        </w:rPr>
        <w:t xml:space="preserve"> jakkoliv dotčeni buď právní regulací CRS, nebo FATCA, </w:t>
      </w:r>
      <w:r w:rsidR="00F404E4" w:rsidRPr="00094CB7">
        <w:rPr>
          <w:rFonts w:ascii="Times New Roman" w:eastAsia="Times New Roman" w:hAnsi="Times New Roman" w:cs="Times New Roman"/>
          <w:lang w:eastAsia="cs-CZ"/>
        </w:rPr>
        <w:t>jsou</w:t>
      </w:r>
      <w:r w:rsidRPr="005C173C">
        <w:rPr>
          <w:rFonts w:ascii="Times New Roman" w:eastAsia="Times New Roman" w:hAnsi="Times New Roman" w:cs="Times New Roman"/>
          <w:lang w:eastAsia="cs-CZ"/>
        </w:rPr>
        <w:t xml:space="preserve"> nejpozději před učiněním prvního oznámení správci daně informováni o tom, že o nich budou shromažďovány a předávány údaje v rozsahu dle zákona a to tak, aby tito klienti mohli uplatnit svá práva na ochranu osobních údajů, včetně prokázání skutečného daňového rezidentství.</w:t>
      </w:r>
    </w:p>
    <w:p w:rsidR="00B86F68" w:rsidRDefault="00B86F68" w:rsidP="005C173C">
      <w:pPr>
        <w:shd w:val="clear" w:color="auto" w:fill="FFFFFF"/>
        <w:spacing w:after="0" w:line="315" w:lineRule="atLeast"/>
        <w:jc w:val="both"/>
        <w:rPr>
          <w:rFonts w:ascii="Times New Roman" w:eastAsia="Times New Roman" w:hAnsi="Times New Roman" w:cs="Times New Roman"/>
          <w:b/>
          <w:lang w:eastAsia="cs-CZ"/>
        </w:rPr>
      </w:pPr>
    </w:p>
    <w:p w:rsidR="00B240F5" w:rsidRPr="00094CB7" w:rsidRDefault="00B240F5" w:rsidP="005C173C">
      <w:pPr>
        <w:shd w:val="clear" w:color="auto" w:fill="FFFFFF"/>
        <w:spacing w:after="0" w:line="315" w:lineRule="atLeast"/>
        <w:jc w:val="both"/>
        <w:rPr>
          <w:rFonts w:ascii="Times New Roman" w:eastAsia="Times New Roman" w:hAnsi="Times New Roman" w:cs="Times New Roman"/>
          <w:b/>
          <w:lang w:eastAsia="cs-CZ"/>
        </w:rPr>
      </w:pPr>
    </w:p>
    <w:p w:rsidR="00F404E4" w:rsidRPr="00094CB7" w:rsidRDefault="00F404E4" w:rsidP="005C173C">
      <w:pPr>
        <w:shd w:val="clear" w:color="auto" w:fill="FFFFFF"/>
        <w:spacing w:after="0" w:line="315" w:lineRule="atLeast"/>
        <w:jc w:val="both"/>
        <w:rPr>
          <w:rFonts w:ascii="Times New Roman" w:eastAsia="Times New Roman" w:hAnsi="Times New Roman" w:cs="Times New Roman"/>
          <w:b/>
          <w:lang w:eastAsia="cs-CZ"/>
        </w:rPr>
      </w:pPr>
      <w:r w:rsidRPr="00094CB7">
        <w:rPr>
          <w:rFonts w:ascii="Times New Roman" w:eastAsia="Times New Roman" w:hAnsi="Times New Roman" w:cs="Times New Roman"/>
          <w:b/>
          <w:lang w:eastAsia="cs-CZ"/>
        </w:rPr>
        <w:lastRenderedPageBreak/>
        <w:t>Bližší informace</w:t>
      </w:r>
    </w:p>
    <w:p w:rsidR="005C173C" w:rsidRPr="005C173C" w:rsidRDefault="00B86F68" w:rsidP="005C173C">
      <w:pPr>
        <w:shd w:val="clear" w:color="auto" w:fill="FFFFFF"/>
        <w:spacing w:after="0" w:line="315" w:lineRule="atLeast"/>
        <w:jc w:val="both"/>
        <w:rPr>
          <w:rFonts w:ascii="Times New Roman" w:eastAsia="Times New Roman" w:hAnsi="Times New Roman" w:cs="Times New Roman"/>
          <w:lang w:eastAsia="cs-CZ"/>
        </w:rPr>
      </w:pPr>
      <w:r w:rsidRPr="00094CB7">
        <w:rPr>
          <w:rFonts w:ascii="Times New Roman" w:eastAsia="Times New Roman" w:hAnsi="Times New Roman" w:cs="Times New Roman"/>
          <w:lang w:eastAsia="cs-CZ"/>
        </w:rPr>
        <w:t>Podrobnější</w:t>
      </w:r>
      <w:r w:rsidR="005C173C" w:rsidRPr="005C173C">
        <w:rPr>
          <w:rFonts w:ascii="Times New Roman" w:eastAsia="Times New Roman" w:hAnsi="Times New Roman" w:cs="Times New Roman"/>
          <w:lang w:eastAsia="cs-CZ"/>
        </w:rPr>
        <w:t xml:space="preserve"> informace k CRS a FATCA naleznete na webových stránkách Finanční správy a Ministerstva financí ČR:</w:t>
      </w:r>
    </w:p>
    <w:p w:rsidR="005C173C" w:rsidRPr="00094CB7" w:rsidRDefault="001D5E07" w:rsidP="00F404E4">
      <w:pPr>
        <w:shd w:val="clear" w:color="auto" w:fill="FFFFFF"/>
        <w:spacing w:after="0" w:line="315" w:lineRule="atLeast"/>
        <w:jc w:val="both"/>
        <w:rPr>
          <w:rFonts w:ascii="Times New Roman" w:eastAsia="Times New Roman" w:hAnsi="Times New Roman" w:cs="Times New Roman"/>
          <w:lang w:eastAsia="cs-CZ"/>
        </w:rPr>
      </w:pPr>
      <w:hyperlink r:id="rId5" w:history="1">
        <w:r w:rsidR="005C173C" w:rsidRPr="00094CB7">
          <w:rPr>
            <w:rFonts w:ascii="Times New Roman" w:eastAsia="Times New Roman" w:hAnsi="Times New Roman" w:cs="Times New Roman"/>
            <w:u w:val="single"/>
            <w:bdr w:val="none" w:sz="0" w:space="0" w:color="auto" w:frame="1"/>
            <w:lang w:eastAsia="cs-CZ"/>
          </w:rPr>
          <w:t>http://www.financnisprava.cz/cs/mezinarodni-spoluprace/mezinarodni-zdanovani-prime-dane/globalni-standard-OECD/globalni-standard-OECD-CRS-DAC2-7438</w:t>
        </w:r>
      </w:hyperlink>
    </w:p>
    <w:p w:rsidR="005C173C" w:rsidRPr="005C173C" w:rsidRDefault="001D5E07" w:rsidP="00F404E4">
      <w:pPr>
        <w:shd w:val="clear" w:color="auto" w:fill="FFFFFF"/>
        <w:spacing w:after="0" w:line="315" w:lineRule="atLeast"/>
        <w:jc w:val="both"/>
        <w:rPr>
          <w:rFonts w:ascii="Times New Roman" w:eastAsia="Times New Roman" w:hAnsi="Times New Roman" w:cs="Times New Roman"/>
          <w:lang w:eastAsia="cs-CZ"/>
        </w:rPr>
      </w:pPr>
      <w:hyperlink r:id="rId6" w:history="1">
        <w:r w:rsidR="005C173C" w:rsidRPr="00094CB7">
          <w:rPr>
            <w:rFonts w:ascii="Times New Roman" w:eastAsia="Times New Roman" w:hAnsi="Times New Roman" w:cs="Times New Roman"/>
            <w:u w:val="single"/>
            <w:bdr w:val="none" w:sz="0" w:space="0" w:color="auto" w:frame="1"/>
            <w:lang w:eastAsia="cs-CZ"/>
          </w:rPr>
          <w:t>http://www.mfcr.cz/cs/legislativa/mezinarodni-spoluprace-v-oblasti-dani/zakon-o-mezinarodni-spolupraci</w:t>
        </w:r>
      </w:hyperlink>
    </w:p>
    <w:p w:rsidR="005C173C" w:rsidRPr="005C173C" w:rsidRDefault="001D5E07" w:rsidP="00F404E4">
      <w:pPr>
        <w:shd w:val="clear" w:color="auto" w:fill="FFFFFF"/>
        <w:spacing w:after="0" w:line="315" w:lineRule="atLeast"/>
        <w:jc w:val="both"/>
        <w:rPr>
          <w:rFonts w:ascii="Times New Roman" w:eastAsia="Times New Roman" w:hAnsi="Times New Roman" w:cs="Times New Roman"/>
          <w:lang w:eastAsia="cs-CZ"/>
        </w:rPr>
      </w:pPr>
      <w:hyperlink r:id="rId7" w:history="1">
        <w:r w:rsidR="005C173C" w:rsidRPr="00094CB7">
          <w:rPr>
            <w:rFonts w:ascii="Times New Roman" w:eastAsia="Times New Roman" w:hAnsi="Times New Roman" w:cs="Times New Roman"/>
            <w:u w:val="single"/>
            <w:bdr w:val="none" w:sz="0" w:space="0" w:color="auto" w:frame="1"/>
            <w:lang w:eastAsia="cs-CZ"/>
          </w:rPr>
          <w:t>http://www.mfcr.cz/cs/legislativa/mezinarodni-spoluprace-v-oblasti-dani/dohoda-fatca/zakladni-informace</w:t>
        </w:r>
      </w:hyperlink>
    </w:p>
    <w:p w:rsidR="005C173C" w:rsidRPr="005C173C" w:rsidRDefault="005C173C" w:rsidP="005C173C">
      <w:pPr>
        <w:shd w:val="clear" w:color="auto" w:fill="FFFFFF"/>
        <w:spacing w:after="0" w:line="315" w:lineRule="atLeast"/>
        <w:jc w:val="both"/>
        <w:rPr>
          <w:rFonts w:ascii="Times New Roman" w:eastAsia="Times New Roman" w:hAnsi="Times New Roman" w:cs="Times New Roman"/>
          <w:lang w:eastAsia="cs-CZ"/>
        </w:rPr>
      </w:pPr>
    </w:p>
    <w:p w:rsidR="00F404E4" w:rsidRPr="005C173C" w:rsidRDefault="00F404E4" w:rsidP="00F404E4">
      <w:pPr>
        <w:shd w:val="clear" w:color="auto" w:fill="FFFFFF"/>
        <w:spacing w:after="0" w:line="315" w:lineRule="atLeast"/>
        <w:jc w:val="both"/>
        <w:rPr>
          <w:rFonts w:ascii="Times New Roman" w:eastAsia="Times New Roman" w:hAnsi="Times New Roman" w:cs="Times New Roman"/>
          <w:lang w:eastAsia="cs-CZ"/>
        </w:rPr>
      </w:pPr>
      <w:r w:rsidRPr="00094CB7">
        <w:rPr>
          <w:rFonts w:ascii="Times New Roman" w:eastAsia="Times New Roman" w:hAnsi="Times New Roman" w:cs="Times New Roman"/>
          <w:lang w:eastAsia="cs-CZ"/>
        </w:rPr>
        <w:t>Společnost sděluje, že</w:t>
      </w:r>
      <w:r w:rsidRPr="005C173C">
        <w:rPr>
          <w:rFonts w:ascii="Times New Roman" w:eastAsia="Times New Roman" w:hAnsi="Times New Roman" w:cs="Times New Roman"/>
          <w:lang w:eastAsia="cs-CZ"/>
        </w:rPr>
        <w:t xml:space="preserve"> informace </w:t>
      </w:r>
      <w:r w:rsidRPr="00094CB7">
        <w:rPr>
          <w:rFonts w:ascii="Times New Roman" w:eastAsia="Times New Roman" w:hAnsi="Times New Roman" w:cs="Times New Roman"/>
          <w:lang w:eastAsia="cs-CZ"/>
        </w:rPr>
        <w:t>v</w:t>
      </w:r>
      <w:r w:rsidR="008B5E9C" w:rsidRPr="00094CB7">
        <w:rPr>
          <w:rFonts w:ascii="Times New Roman" w:eastAsia="Times New Roman" w:hAnsi="Times New Roman" w:cs="Times New Roman"/>
          <w:lang w:eastAsia="cs-CZ"/>
        </w:rPr>
        <w:t>ý</w:t>
      </w:r>
      <w:r w:rsidRPr="00094CB7">
        <w:rPr>
          <w:rFonts w:ascii="Times New Roman" w:eastAsia="Times New Roman" w:hAnsi="Times New Roman" w:cs="Times New Roman"/>
          <w:lang w:eastAsia="cs-CZ"/>
        </w:rPr>
        <w:t xml:space="preserve">še </w:t>
      </w:r>
      <w:r w:rsidRPr="005C173C">
        <w:rPr>
          <w:rFonts w:ascii="Times New Roman" w:eastAsia="Times New Roman" w:hAnsi="Times New Roman" w:cs="Times New Roman"/>
          <w:lang w:eastAsia="cs-CZ"/>
        </w:rPr>
        <w:t xml:space="preserve">slouží pouze jako základní přehled o právních povinnostech </w:t>
      </w:r>
      <w:r w:rsidRPr="00094CB7">
        <w:rPr>
          <w:rFonts w:ascii="Times New Roman" w:eastAsia="Times New Roman" w:hAnsi="Times New Roman" w:cs="Times New Roman"/>
          <w:lang w:eastAsia="cs-CZ"/>
        </w:rPr>
        <w:t>společnosti</w:t>
      </w:r>
      <w:r w:rsidRPr="005C173C">
        <w:rPr>
          <w:rFonts w:ascii="Times New Roman" w:eastAsia="Times New Roman" w:hAnsi="Times New Roman" w:cs="Times New Roman"/>
          <w:lang w:eastAsia="cs-CZ"/>
        </w:rPr>
        <w:t xml:space="preserve"> podle zákona. V souvislosti s novou právní regulací </w:t>
      </w:r>
      <w:r w:rsidRPr="00094CB7">
        <w:rPr>
          <w:rFonts w:ascii="Times New Roman" w:eastAsia="Times New Roman" w:hAnsi="Times New Roman" w:cs="Times New Roman"/>
          <w:lang w:eastAsia="cs-CZ"/>
        </w:rPr>
        <w:t>má společnost</w:t>
      </w:r>
      <w:r w:rsidRPr="005C173C">
        <w:rPr>
          <w:rFonts w:ascii="Times New Roman" w:eastAsia="Times New Roman" w:hAnsi="Times New Roman" w:cs="Times New Roman"/>
          <w:lang w:eastAsia="cs-CZ"/>
        </w:rPr>
        <w:t xml:space="preserve"> povinnost informovat klienty o této právní regulaci</w:t>
      </w:r>
      <w:r w:rsidR="008B5E9C" w:rsidRPr="00094CB7">
        <w:rPr>
          <w:rFonts w:ascii="Times New Roman" w:eastAsia="Times New Roman" w:hAnsi="Times New Roman" w:cs="Times New Roman"/>
          <w:lang w:eastAsia="cs-CZ"/>
        </w:rPr>
        <w:t>, což činí tímto dokumentem</w:t>
      </w:r>
      <w:r w:rsidRPr="005C173C">
        <w:rPr>
          <w:rFonts w:ascii="Times New Roman" w:eastAsia="Times New Roman" w:hAnsi="Times New Roman" w:cs="Times New Roman"/>
          <w:lang w:eastAsia="cs-CZ"/>
        </w:rPr>
        <w:t>.</w:t>
      </w:r>
    </w:p>
    <w:p w:rsidR="005C173C" w:rsidRPr="00094CB7" w:rsidRDefault="005C173C" w:rsidP="005C173C">
      <w:pPr>
        <w:jc w:val="both"/>
        <w:rPr>
          <w:rFonts w:ascii="Times New Roman" w:hAnsi="Times New Roman" w:cs="Times New Roman"/>
        </w:rPr>
      </w:pPr>
    </w:p>
    <w:sectPr w:rsidR="005C173C" w:rsidRPr="00094C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0" w:usb1="08080000" w:usb2="00000010" w:usb3="00000000" w:csb0="001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854CA9"/>
    <w:multiLevelType w:val="multilevel"/>
    <w:tmpl w:val="773C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146995"/>
    <w:multiLevelType w:val="multilevel"/>
    <w:tmpl w:val="97CE3EA4"/>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2" w15:restartNumberingAfterBreak="0">
    <w:nsid w:val="614A0F1F"/>
    <w:multiLevelType w:val="hybridMultilevel"/>
    <w:tmpl w:val="8AE84A0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savePreviewPicture/>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73C"/>
    <w:rsid w:val="00094CB7"/>
    <w:rsid w:val="001D5E07"/>
    <w:rsid w:val="001F61CC"/>
    <w:rsid w:val="005C173C"/>
    <w:rsid w:val="0061060C"/>
    <w:rsid w:val="00717810"/>
    <w:rsid w:val="008B5E9C"/>
    <w:rsid w:val="00B240F5"/>
    <w:rsid w:val="00B86F68"/>
    <w:rsid w:val="00E85B5E"/>
    <w:rsid w:val="00F404E4"/>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16661"/>
  <w15:chartTrackingRefBased/>
  <w15:docId w15:val="{CED07649-8778-48BD-A34C-B1369AE0B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style>
  <w:style w:type="paragraph" w:styleId="Nadpis3">
    <w:name w:val="heading 3"/>
    <w:basedOn w:val="Normln"/>
    <w:link w:val="Nadpis3Char"/>
    <w:uiPriority w:val="9"/>
    <w:qFormat/>
    <w:rsid w:val="005C173C"/>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5C173C"/>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5C173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5C173C"/>
    <w:rPr>
      <w:color w:val="0000FF"/>
      <w:u w:val="single"/>
    </w:rPr>
  </w:style>
  <w:style w:type="paragraph" w:styleId="Odstavecseseznamem">
    <w:name w:val="List Paragraph"/>
    <w:basedOn w:val="Normln"/>
    <w:uiPriority w:val="34"/>
    <w:qFormat/>
    <w:rsid w:val="00F404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62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fcr.cz/cs/legislativa/mezinarodni-spoluprace-v-oblasti-dani/dohoda-fatca/zakladni-informa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fcr.cz/cs/legislativa/mezinarodni-spoluprace-v-oblasti-dani/zakon-o-mezinarodni-spolupraci" TargetMode="External"/><Relationship Id="rId5" Type="http://schemas.openxmlformats.org/officeDocument/2006/relationships/hyperlink" Target="http://www.financnisprava.cz/cs/mezinarodni-spoluprace/mezinarodni-zdanovani-prime-dane/globalni-standard-OECD/globalni-standard-OECD-CRS-DAC2-743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660</Words>
  <Characters>3897</Characters>
  <Application>Microsoft Office Word</Application>
  <DocSecurity>0</DocSecurity>
  <Lines>32</Lines>
  <Paragraphs>9</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        Informace společnosti CYRRUS CORPORATE FINANCE, a.s. (dále jen „společnost“) ohl</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dc:creator>
  <cp:keywords/>
  <dc:description/>
  <cp:lastModifiedBy>LS</cp:lastModifiedBy>
  <cp:revision>4</cp:revision>
  <dcterms:created xsi:type="dcterms:W3CDTF">2017-06-25T14:55:00Z</dcterms:created>
  <dcterms:modified xsi:type="dcterms:W3CDTF">2017-06-25T15:01:00Z</dcterms:modified>
</cp:coreProperties>
</file>